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8810A" w14:textId="77777777" w:rsidR="00FF1FFF" w:rsidRDefault="00FF1FFF" w:rsidP="005C683E">
      <w:pPr>
        <w:pStyle w:val="Heading1"/>
        <w:spacing w:before="0"/>
      </w:pPr>
      <w:r>
        <w:rPr>
          <w:b w:val="0"/>
          <w:noProof/>
        </w:rPr>
        <w:drawing>
          <wp:inline distT="0" distB="0" distL="0" distR="0" wp14:anchorId="03CD54A3" wp14:editId="7734ABA6">
            <wp:extent cx="1072163"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S 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1247" cy="858110"/>
                    </a:xfrm>
                    <a:prstGeom prst="rect">
                      <a:avLst/>
                    </a:prstGeom>
                  </pic:spPr>
                </pic:pic>
              </a:graphicData>
            </a:graphic>
          </wp:inline>
        </w:drawing>
      </w:r>
    </w:p>
    <w:p w14:paraId="0E5BBD9C" w14:textId="6EF209A2" w:rsidR="008F7D00" w:rsidRDefault="008F7D00" w:rsidP="005C683E">
      <w:pPr>
        <w:pStyle w:val="Heading1"/>
        <w:spacing w:before="0"/>
      </w:pPr>
      <w:r>
        <w:t xml:space="preserve">Pendle Community High School &amp; College – Privacy Notice – updated </w:t>
      </w:r>
      <w:r w:rsidR="00E872B7">
        <w:t>01/09</w:t>
      </w:r>
      <w:r w:rsidR="002D0AD3">
        <w:t>/2020</w:t>
      </w:r>
    </w:p>
    <w:p w14:paraId="2B6972FB" w14:textId="7A8703A3" w:rsidR="008F7D00" w:rsidRDefault="008F7D00" w:rsidP="005C683E">
      <w:pPr>
        <w:pStyle w:val="Heading1"/>
        <w:spacing w:before="0"/>
      </w:pPr>
      <w:r>
        <w:t>________________________________________________</w:t>
      </w:r>
    </w:p>
    <w:p w14:paraId="15712539" w14:textId="15B066EE" w:rsidR="005C683E" w:rsidRPr="005C683E" w:rsidRDefault="005C683E" w:rsidP="005C683E">
      <w:pPr>
        <w:pStyle w:val="Heading1"/>
        <w:spacing w:before="0"/>
      </w:pPr>
      <w:r w:rsidRPr="00E52254">
        <w:t>Privacy Notice (How we use pupil information)</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FE2D984" w:rsidR="000A3A63" w:rsidRDefault="000A3A63" w:rsidP="00D10AC5">
      <w:pPr>
        <w:pStyle w:val="ListParagraph"/>
        <w:numPr>
          <w:ilvl w:val="0"/>
          <w:numId w:val="20"/>
        </w:numPr>
      </w:pPr>
      <w:r>
        <w:t>Assessment information</w:t>
      </w:r>
    </w:p>
    <w:p w14:paraId="6938E4A9" w14:textId="3CBF9B5C" w:rsidR="000A3A63" w:rsidRDefault="000A3A63" w:rsidP="00D10AC5">
      <w:pPr>
        <w:pStyle w:val="ListParagraph"/>
        <w:numPr>
          <w:ilvl w:val="0"/>
          <w:numId w:val="20"/>
        </w:numPr>
      </w:pPr>
      <w:r>
        <w:t>Medical conditions</w:t>
      </w:r>
    </w:p>
    <w:p w14:paraId="61F68F0A" w14:textId="01BD10F6" w:rsidR="000A3A63" w:rsidRDefault="000A3A63" w:rsidP="00D10AC5">
      <w:pPr>
        <w:pStyle w:val="ListParagraph"/>
        <w:numPr>
          <w:ilvl w:val="0"/>
          <w:numId w:val="20"/>
        </w:numPr>
      </w:pPr>
      <w:r>
        <w:t>Special Educational Needs and Disability</w:t>
      </w:r>
    </w:p>
    <w:p w14:paraId="4D404E1C" w14:textId="0AB096BE" w:rsidR="000A3A63" w:rsidRDefault="000A3A63" w:rsidP="000A3A63">
      <w:pPr>
        <w:pStyle w:val="ListParagraph"/>
        <w:numPr>
          <w:ilvl w:val="0"/>
          <w:numId w:val="20"/>
        </w:numPr>
      </w:pPr>
      <w:r>
        <w:t>Behaviour and exc</w:t>
      </w:r>
      <w:r w:rsidR="008540DD">
        <w:t>lu</w:t>
      </w:r>
      <w:r>
        <w:t>sions</w:t>
      </w:r>
    </w:p>
    <w:p w14:paraId="58734908" w14:textId="77777777" w:rsidR="004B0722" w:rsidRDefault="004B0722" w:rsidP="004B0722">
      <w:pPr>
        <w:pStyle w:val="ListParagraph"/>
        <w:numPr>
          <w:ilvl w:val="0"/>
          <w:numId w:val="20"/>
        </w:numPr>
      </w:pPr>
      <w:r w:rsidRPr="004B0722">
        <w:t>assessment information</w:t>
      </w:r>
    </w:p>
    <w:p w14:paraId="268A7F49" w14:textId="77777777" w:rsidR="004B0722" w:rsidRDefault="004B0722" w:rsidP="004B0722">
      <w:pPr>
        <w:pStyle w:val="ListParagraph"/>
        <w:numPr>
          <w:ilvl w:val="0"/>
          <w:numId w:val="20"/>
        </w:numPr>
      </w:pPr>
      <w:r w:rsidRPr="004B0722">
        <w:t>relevant medical information</w:t>
      </w:r>
    </w:p>
    <w:p w14:paraId="4DDBC329" w14:textId="77777777" w:rsidR="004B0722" w:rsidRDefault="004B0722" w:rsidP="004B0722">
      <w:pPr>
        <w:pStyle w:val="ListParagraph"/>
        <w:numPr>
          <w:ilvl w:val="0"/>
          <w:numId w:val="20"/>
        </w:numPr>
      </w:pPr>
      <w:r w:rsidRPr="004B0722">
        <w:t>special educational needs information</w:t>
      </w:r>
    </w:p>
    <w:p w14:paraId="55196D25" w14:textId="77777777" w:rsidR="004B0722" w:rsidRDefault="004B0722" w:rsidP="004B0722">
      <w:pPr>
        <w:pStyle w:val="ListParagraph"/>
        <w:numPr>
          <w:ilvl w:val="0"/>
          <w:numId w:val="20"/>
        </w:numPr>
      </w:pPr>
      <w:r>
        <w:t>exclusions</w:t>
      </w:r>
    </w:p>
    <w:p w14:paraId="064C7ED4" w14:textId="77777777" w:rsidR="004B0722" w:rsidRDefault="004B0722" w:rsidP="004B0722">
      <w:pPr>
        <w:pStyle w:val="ListParagraph"/>
        <w:numPr>
          <w:ilvl w:val="0"/>
          <w:numId w:val="20"/>
        </w:numPr>
      </w:pPr>
      <w:r>
        <w:t>behavioural information</w:t>
      </w:r>
    </w:p>
    <w:p w14:paraId="3393B07F" w14:textId="49EB6CE1" w:rsidR="004B0722" w:rsidRPr="005C683E" w:rsidRDefault="004B0722" w:rsidP="004B0722">
      <w:pPr>
        <w:pStyle w:val="ListParagraph"/>
        <w:numPr>
          <w:ilvl w:val="0"/>
          <w:numId w:val="20"/>
        </w:numPr>
      </w:pPr>
      <w:r w:rsidRPr="004B0722">
        <w:t>post 16 learning information</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78B40720" w:rsidR="000A3A63" w:rsidRPr="005C683E" w:rsidRDefault="000A3A63" w:rsidP="00234048">
      <w:pPr>
        <w:pStyle w:val="ListParagraph"/>
      </w:pPr>
      <w:r>
        <w:t>to safeguard</w:t>
      </w:r>
      <w:r w:rsidR="00183FD1">
        <w:t xml:space="preserve"> </w:t>
      </w:r>
      <w:r>
        <w:t>pupils</w:t>
      </w:r>
    </w:p>
    <w:p w14:paraId="72072D68" w14:textId="2297B11E" w:rsidR="00234048" w:rsidRDefault="00234048" w:rsidP="00234048">
      <w:pPr>
        <w:pStyle w:val="Heading2"/>
      </w:pPr>
      <w:r w:rsidRPr="002474F7">
        <w:lastRenderedPageBreak/>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0A3A63" w:rsidRDefault="000A3A63" w:rsidP="000A3A63">
      <w:r w:rsidRPr="000A3A63">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1C3FCB46" w14:textId="77777777" w:rsidR="000A3A63" w:rsidRPr="00F2063B" w:rsidRDefault="000A3A63" w:rsidP="000A3A63">
      <w:pPr>
        <w:rPr>
          <w:lang w:val="en"/>
        </w:rPr>
      </w:pPr>
      <w:r w:rsidRPr="00F2063B">
        <w:rPr>
          <w:lang w:val="en"/>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1FE0F69C" w14:textId="7777777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146186AE" w14:textId="77777777" w:rsidR="000A3A63" w:rsidRDefault="000A3A63" w:rsidP="000A3A63">
      <w:r>
        <w:t>Children's Act 1989 – Section 83 – places a duty on the Secretary of State or others to conduct research.</w:t>
      </w:r>
    </w:p>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2F7FAFA9" w:rsidR="005C683E" w:rsidRPr="005C683E" w:rsidRDefault="005C683E" w:rsidP="007D0F02">
      <w:r w:rsidRPr="005C683E">
        <w:t xml:space="preserve">We hold pupil data </w:t>
      </w:r>
      <w:r w:rsidR="004B0722">
        <w:t xml:space="preserve">by the </w:t>
      </w:r>
      <w:r w:rsidR="004B0722" w:rsidRPr="004B0722">
        <w:t>leaving date + 25 years</w:t>
      </w:r>
      <w:r w:rsidR="00200C13">
        <w:t>, in order to comply with our legal obligations. If you require a copy of the retention schedule please request this from our data protection officer, contact details are at the bottom of this notice.</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 xml:space="preserve">schools that the </w:t>
      </w:r>
      <w:proofErr w:type="gramStart"/>
      <w:r w:rsidRPr="005C683E">
        <w:t>pupil’s</w:t>
      </w:r>
      <w:proofErr w:type="gramEnd"/>
      <w:r w:rsidRPr="005C683E">
        <w:t xml:space="preserve">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2F99FDF7" w:rsidR="005C683E" w:rsidRPr="00FA3189" w:rsidRDefault="005C683E" w:rsidP="005C683E">
      <w:pPr>
        <w:pStyle w:val="ListParagraph"/>
        <w:numPr>
          <w:ilvl w:val="0"/>
          <w:numId w:val="19"/>
        </w:numPr>
        <w:rPr>
          <w:rFonts w:cs="Arial"/>
        </w:rPr>
      </w:pPr>
      <w:r w:rsidRPr="005C683E">
        <w:t>the Department for Education (</w:t>
      </w:r>
      <w:proofErr w:type="spellStart"/>
      <w:r w:rsidRPr="005C683E">
        <w:t>DfE</w:t>
      </w:r>
      <w:proofErr w:type="spellEnd"/>
      <w:r w:rsidRPr="005C683E">
        <w:t xml:space="preserve">) </w:t>
      </w:r>
    </w:p>
    <w:p w14:paraId="41B0BD5B" w14:textId="4222C383" w:rsidR="00FA3189" w:rsidRPr="000A3A63" w:rsidRDefault="00FA3189" w:rsidP="005C683E">
      <w:pPr>
        <w:pStyle w:val="ListParagraph"/>
        <w:numPr>
          <w:ilvl w:val="0"/>
          <w:numId w:val="19"/>
        </w:numPr>
        <w:rPr>
          <w:rFonts w:cs="Arial"/>
        </w:rPr>
      </w:pPr>
      <w:r>
        <w:t>Exam boards – AQA,</w:t>
      </w:r>
      <w:r w:rsidR="00E50932">
        <w:t xml:space="preserve"> Ede</w:t>
      </w:r>
      <w:r>
        <w:t>xcel,</w:t>
      </w:r>
      <w:r w:rsidR="00E50932">
        <w:t xml:space="preserve"> Welsh Board</w:t>
      </w:r>
    </w:p>
    <w:p w14:paraId="161DB97E" w14:textId="204331BA" w:rsidR="000A3A63" w:rsidRPr="00606DC6" w:rsidRDefault="000A3A63" w:rsidP="005C683E">
      <w:pPr>
        <w:pStyle w:val="ListParagraph"/>
        <w:numPr>
          <w:ilvl w:val="0"/>
          <w:numId w:val="19"/>
        </w:numPr>
        <w:rPr>
          <w:rFonts w:cs="Arial"/>
        </w:rPr>
      </w:pPr>
      <w:r>
        <w:t>NHS/school nurse</w:t>
      </w:r>
      <w:r w:rsidR="00AC4E49">
        <w:t xml:space="preserve"> and relevant NHS teams </w:t>
      </w:r>
      <w:proofErr w:type="spellStart"/>
      <w:r w:rsidR="00AC4E49">
        <w:t>i.e</w:t>
      </w:r>
      <w:proofErr w:type="spellEnd"/>
      <w:r w:rsidR="00AC4E49">
        <w:t xml:space="preserve"> SALT, Occupational Therapist, Paediatricians, Ophthalmology, Physiotherapy, Orthotics</w:t>
      </w:r>
    </w:p>
    <w:p w14:paraId="0906F9D7" w14:textId="013D87A0" w:rsidR="00606DC6" w:rsidRPr="00606DC6" w:rsidRDefault="00606DC6" w:rsidP="005C683E">
      <w:pPr>
        <w:pStyle w:val="ListParagraph"/>
        <w:numPr>
          <w:ilvl w:val="0"/>
          <w:numId w:val="19"/>
        </w:numPr>
        <w:rPr>
          <w:rFonts w:cs="Arial"/>
        </w:rPr>
      </w:pPr>
      <w:r>
        <w:t>School Councillor</w:t>
      </w:r>
      <w:r w:rsidR="00FF419B">
        <w:t xml:space="preserve">, </w:t>
      </w:r>
      <w:proofErr w:type="spellStart"/>
      <w:r w:rsidR="00FF419B">
        <w:t>MSi</w:t>
      </w:r>
      <w:proofErr w:type="spellEnd"/>
      <w:r w:rsidR="00FF419B">
        <w:t xml:space="preserve"> Consultant Teacher </w:t>
      </w:r>
    </w:p>
    <w:p w14:paraId="5275A9EF" w14:textId="6E88608E" w:rsidR="00606DC6" w:rsidRPr="00606DC6" w:rsidRDefault="00606DC6" w:rsidP="005C683E">
      <w:pPr>
        <w:pStyle w:val="ListParagraph"/>
        <w:numPr>
          <w:ilvl w:val="0"/>
          <w:numId w:val="19"/>
        </w:numPr>
        <w:rPr>
          <w:rFonts w:cs="Arial"/>
        </w:rPr>
      </w:pPr>
      <w:r>
        <w:t>Social Services</w:t>
      </w:r>
    </w:p>
    <w:p w14:paraId="00ED0C85" w14:textId="32D1D90B" w:rsidR="00606DC6" w:rsidRPr="00606DC6" w:rsidRDefault="00606DC6" w:rsidP="005C683E">
      <w:pPr>
        <w:pStyle w:val="ListParagraph"/>
        <w:numPr>
          <w:ilvl w:val="0"/>
          <w:numId w:val="19"/>
        </w:numPr>
        <w:rPr>
          <w:rFonts w:cs="Arial"/>
        </w:rPr>
      </w:pPr>
      <w:r>
        <w:t>IDSS</w:t>
      </w:r>
    </w:p>
    <w:p w14:paraId="3A32207B" w14:textId="5499ABA2" w:rsidR="00BE278F" w:rsidRDefault="00BE278F" w:rsidP="00606DC6">
      <w:pPr>
        <w:pStyle w:val="ListParagraph"/>
        <w:numPr>
          <w:ilvl w:val="0"/>
          <w:numId w:val="19"/>
        </w:numPr>
        <w:rPr>
          <w:rFonts w:cs="Arial"/>
        </w:rPr>
      </w:pPr>
      <w:r>
        <w:rPr>
          <w:rFonts w:cs="Arial"/>
        </w:rPr>
        <w:t>British Council – Erasmus Project</w:t>
      </w:r>
    </w:p>
    <w:p w14:paraId="265A4C81" w14:textId="40239D52" w:rsidR="00F52E35" w:rsidRDefault="00F52E35" w:rsidP="00606DC6">
      <w:pPr>
        <w:pStyle w:val="ListParagraph"/>
        <w:numPr>
          <w:ilvl w:val="0"/>
          <w:numId w:val="19"/>
        </w:numPr>
        <w:rPr>
          <w:rFonts w:cs="Arial"/>
        </w:rPr>
      </w:pPr>
      <w:r>
        <w:rPr>
          <w:rFonts w:cs="Arial"/>
        </w:rPr>
        <w:t>UCLAN – Future U Project</w:t>
      </w:r>
    </w:p>
    <w:p w14:paraId="315732C6" w14:textId="6195C12D" w:rsidR="00C4763C" w:rsidRDefault="00C4763C" w:rsidP="00606DC6">
      <w:pPr>
        <w:pStyle w:val="ListParagraph"/>
        <w:numPr>
          <w:ilvl w:val="0"/>
          <w:numId w:val="19"/>
        </w:numPr>
        <w:rPr>
          <w:rFonts w:cs="Arial"/>
        </w:rPr>
      </w:pPr>
      <w:r>
        <w:rPr>
          <w:rFonts w:cs="Arial"/>
        </w:rPr>
        <w:t>IXL – online learning</w:t>
      </w:r>
    </w:p>
    <w:p w14:paraId="4920CF1D" w14:textId="27434D68" w:rsidR="00C4763C" w:rsidRPr="005C683E" w:rsidRDefault="00C4763C" w:rsidP="00606DC6">
      <w:pPr>
        <w:pStyle w:val="ListParagraph"/>
        <w:numPr>
          <w:ilvl w:val="0"/>
          <w:numId w:val="19"/>
        </w:numPr>
        <w:rPr>
          <w:rFonts w:cs="Arial"/>
        </w:rPr>
      </w:pPr>
      <w:r>
        <w:rPr>
          <w:rFonts w:cs="Arial"/>
        </w:rPr>
        <w:t>Purple Mash – online learning</w:t>
      </w:r>
      <w:bookmarkStart w:id="0" w:name="_GoBack"/>
      <w:bookmarkEnd w:id="0"/>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6DB4917B" w:rsidR="005C683E" w:rsidRDefault="005C683E" w:rsidP="007D0F02">
      <w:r w:rsidRPr="005C683E">
        <w:t>We are required to share information about our pupils with our local authority (LA) and the Department for Education (</w:t>
      </w:r>
      <w:proofErr w:type="spellStart"/>
      <w:r w:rsidRPr="005C683E">
        <w:t>DfE</w:t>
      </w:r>
      <w:proofErr w:type="spellEnd"/>
      <w:r w:rsidRPr="005C683E">
        <w:t>) under section 3 of The Education (Information About Individual Pupils) (England) Regulations 2013.</w:t>
      </w:r>
    </w:p>
    <w:p w14:paraId="218CBFEE" w14:textId="77777777" w:rsidR="005C683E" w:rsidRPr="005C683E" w:rsidRDefault="005C683E" w:rsidP="007D0F02">
      <w:pPr>
        <w:pStyle w:val="Heading2"/>
      </w:pPr>
      <w:r w:rsidRPr="005C683E">
        <w:lastRenderedPageBreak/>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5429853D" w14:textId="77777777" w:rsidR="00234048" w:rsidRPr="00234048" w:rsidRDefault="005C683E" w:rsidP="00234048">
      <w:pPr>
        <w:pStyle w:val="Heading2"/>
      </w:pPr>
      <w:r w:rsidRPr="00234048">
        <w:t>Youth support services</w:t>
      </w:r>
    </w:p>
    <w:p w14:paraId="569AD797" w14:textId="766A50FE" w:rsidR="00DD0A6F" w:rsidRPr="00DD0A6F" w:rsidRDefault="00234048" w:rsidP="00DD0A6F">
      <w:pPr>
        <w:pStyle w:val="Heading3"/>
      </w:pPr>
      <w:r>
        <w:t>Pupils aged 13+</w:t>
      </w:r>
      <w:r w:rsidR="00DD0A6F">
        <w:t xml:space="preserve"> </w:t>
      </w:r>
    </w:p>
    <w:p w14:paraId="45343C91" w14:textId="77777777" w:rsidR="005C683E" w:rsidRPr="005C683E" w:rsidRDefault="005C683E" w:rsidP="007D0F02">
      <w:r w:rsidRPr="005C683E">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5C683E" w:rsidDel="00A37407">
        <w:t xml:space="preserve"> </w:t>
      </w:r>
    </w:p>
    <w:p w14:paraId="4325778E"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r w:rsidRPr="005C683E">
        <w:rPr>
          <w:iCs/>
        </w:rPr>
        <w:t>This enables them to provide services as follows:</w:t>
      </w:r>
    </w:p>
    <w:p w14:paraId="0F6866C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33B4F49" w14:textId="77777777" w:rsidR="005C683E" w:rsidRPr="005C683E" w:rsidRDefault="005C683E" w:rsidP="005C683E">
      <w:pPr>
        <w:pStyle w:val="ListParagraph"/>
        <w:numPr>
          <w:ilvl w:val="0"/>
          <w:numId w:val="21"/>
        </w:numPr>
      </w:pPr>
      <w:r w:rsidRPr="005C683E">
        <w:t>youth support services</w:t>
      </w:r>
    </w:p>
    <w:p w14:paraId="055D7472" w14:textId="77777777" w:rsidR="005C683E" w:rsidRPr="005C683E" w:rsidRDefault="005C683E" w:rsidP="005C683E">
      <w:pPr>
        <w:pStyle w:val="ListParagraph"/>
        <w:numPr>
          <w:ilvl w:val="0"/>
          <w:numId w:val="21"/>
        </w:numPr>
      </w:pPr>
      <w:r w:rsidRPr="005C683E">
        <w:t>careers advisers</w:t>
      </w:r>
    </w:p>
    <w:p w14:paraId="22B1AD1F" w14:textId="267D68B1" w:rsidR="005C683E" w:rsidRPr="005C683E" w:rsidRDefault="00DD0A6F" w:rsidP="007D0F02">
      <w:pPr>
        <w:rPr>
          <w:color w:val="FF0000"/>
        </w:rPr>
      </w:pPr>
      <w:r>
        <w:t>A parent or</w:t>
      </w:r>
      <w:r w:rsidR="005C683E" w:rsidRPr="005C683E">
        <w:t xml:space="preserve"> guardian can request that </w:t>
      </w:r>
      <w:r w:rsidR="005C683E" w:rsidRPr="005C683E">
        <w:rPr>
          <w:b/>
        </w:rPr>
        <w:t>only</w:t>
      </w:r>
      <w:r w:rsidR="005C683E" w:rsidRPr="005C683E">
        <w:t xml:space="preserve"> their child’s name, address and date of birth is passed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is transferred to the child / pupil once he/she reaches the age 16. </w:t>
      </w:r>
    </w:p>
    <w:p w14:paraId="03B01644" w14:textId="36013691" w:rsidR="00DD0A6F" w:rsidRPr="00DD0A6F" w:rsidRDefault="00234048" w:rsidP="00DD0A6F">
      <w:pPr>
        <w:pStyle w:val="Heading3"/>
      </w:pPr>
      <w:r>
        <w:t>P</w:t>
      </w:r>
      <w:r w:rsidR="005C683E" w:rsidRPr="005C683E">
        <w:t>upils aged 16+</w:t>
      </w:r>
      <w:r w:rsidR="00DD0A6F">
        <w:t xml:space="preserve"> </w:t>
      </w:r>
    </w:p>
    <w:p w14:paraId="688E5441" w14:textId="77777777" w:rsidR="005C683E" w:rsidRPr="005C683E" w:rsidRDefault="005C683E" w:rsidP="007D0F02">
      <w:r w:rsidRPr="005C683E">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2635EF28" w14:textId="77777777" w:rsidR="005C683E" w:rsidRPr="005C683E" w:rsidRDefault="005C683E" w:rsidP="007D0F02">
      <w:r w:rsidRPr="005C683E">
        <w:t xml:space="preserve">This enables them to provide services as follows: </w:t>
      </w:r>
    </w:p>
    <w:p w14:paraId="5DDB03AF" w14:textId="77777777" w:rsidR="005C683E" w:rsidRPr="005C683E" w:rsidRDefault="005C683E" w:rsidP="005C683E">
      <w:pPr>
        <w:pStyle w:val="ListParagraph"/>
        <w:numPr>
          <w:ilvl w:val="0"/>
          <w:numId w:val="21"/>
        </w:numPr>
      </w:pPr>
      <w:r w:rsidRPr="005C683E">
        <w:t>post-16 education and training providers</w:t>
      </w:r>
    </w:p>
    <w:p w14:paraId="3629447D" w14:textId="77777777" w:rsidR="005C683E" w:rsidRPr="005C683E" w:rsidRDefault="005C683E" w:rsidP="005C683E">
      <w:pPr>
        <w:pStyle w:val="ListParagraph"/>
        <w:numPr>
          <w:ilvl w:val="0"/>
          <w:numId w:val="21"/>
        </w:numPr>
      </w:pPr>
      <w:r w:rsidRPr="005C683E">
        <w:t>youth support services</w:t>
      </w:r>
    </w:p>
    <w:p w14:paraId="6835492C" w14:textId="77777777" w:rsidR="005C683E" w:rsidRPr="005C683E" w:rsidRDefault="005C683E" w:rsidP="005C683E">
      <w:pPr>
        <w:pStyle w:val="ListParagraph"/>
        <w:numPr>
          <w:ilvl w:val="0"/>
          <w:numId w:val="21"/>
        </w:numPr>
      </w:pPr>
      <w:r w:rsidRPr="005C683E">
        <w:t>careers advisers</w:t>
      </w:r>
    </w:p>
    <w:p w14:paraId="2AA22386" w14:textId="77777777" w:rsidR="00200C13" w:rsidRDefault="005C683E" w:rsidP="00200C13">
      <w:r w:rsidRPr="005C683E">
        <w:t xml:space="preserve">For more information about services for young people, please visit our local authority website. </w:t>
      </w:r>
    </w:p>
    <w:p w14:paraId="39986238" w14:textId="697AE4A3" w:rsidR="005C683E" w:rsidRPr="00200C13" w:rsidRDefault="005C683E" w:rsidP="00200C13">
      <w:pPr>
        <w:rPr>
          <w:b/>
          <w:color w:val="17365D" w:themeColor="text2" w:themeShade="BF"/>
          <w:sz w:val="28"/>
          <w:szCs w:val="28"/>
        </w:rPr>
      </w:pPr>
      <w:r w:rsidRPr="00200C13">
        <w:rPr>
          <w:b/>
          <w:color w:val="17365D" w:themeColor="text2" w:themeShade="BF"/>
          <w:sz w:val="28"/>
          <w:szCs w:val="28"/>
        </w:rPr>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w:t>
      </w:r>
      <w:r w:rsidRPr="005C683E">
        <w:lastRenderedPageBreak/>
        <w:t>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51FEC093"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00EF078C" w:rsidRPr="00EF078C">
        <w:rPr>
          <w:b/>
        </w:rPr>
        <w:t xml:space="preserve">Mrs </w:t>
      </w:r>
      <w:proofErr w:type="gramStart"/>
      <w:r w:rsidR="00EF078C" w:rsidRPr="00EF078C">
        <w:rPr>
          <w:b/>
        </w:rPr>
        <w:t>A</w:t>
      </w:r>
      <w:proofErr w:type="gramEnd"/>
      <w:r w:rsidR="00EF078C" w:rsidRPr="00EF078C">
        <w:rPr>
          <w:b/>
        </w:rPr>
        <w:t xml:space="preserve"> Harvey, Data Protection Officer.</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lastRenderedPageBreak/>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77777777"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14:paraId="633460C5" w14:textId="77777777" w:rsidR="00C11F1A" w:rsidRPr="00C11F1A" w:rsidRDefault="00EF078C" w:rsidP="007D0F02">
      <w:pPr>
        <w:widowControl w:val="0"/>
        <w:suppressAutoHyphens/>
        <w:overflowPunct w:val="0"/>
        <w:autoSpaceDE w:val="0"/>
        <w:autoSpaceDN w:val="0"/>
        <w:spacing w:after="0" w:line="240" w:lineRule="auto"/>
        <w:textAlignment w:val="baseline"/>
        <w:rPr>
          <w:b/>
        </w:rPr>
      </w:pPr>
      <w:r w:rsidRPr="00C11F1A">
        <w:rPr>
          <w:b/>
        </w:rPr>
        <w:t>Mrs A Harvey (Data Protection Officer)</w:t>
      </w:r>
    </w:p>
    <w:p w14:paraId="5944612C" w14:textId="3F313FA5" w:rsidR="005D3B59" w:rsidRPr="00C11F1A" w:rsidRDefault="00C11F1A" w:rsidP="007D0F02">
      <w:pPr>
        <w:widowControl w:val="0"/>
        <w:suppressAutoHyphens/>
        <w:overflowPunct w:val="0"/>
        <w:autoSpaceDE w:val="0"/>
        <w:autoSpaceDN w:val="0"/>
        <w:spacing w:after="0" w:line="240" w:lineRule="auto"/>
        <w:textAlignment w:val="baseline"/>
        <w:rPr>
          <w:b/>
        </w:rPr>
      </w:pPr>
      <w:r w:rsidRPr="00C11F1A">
        <w:rPr>
          <w:b/>
        </w:rPr>
        <w:t xml:space="preserve">Tel: </w:t>
      </w:r>
      <w:r w:rsidR="00EF078C" w:rsidRPr="00C11F1A">
        <w:rPr>
          <w:b/>
        </w:rPr>
        <w:t>01282 682260</w:t>
      </w:r>
      <w:r w:rsidR="005C683E" w:rsidRPr="00C11F1A">
        <w:rPr>
          <w:b/>
        </w:rPr>
        <w:t xml:space="preserve"> </w:t>
      </w:r>
    </w:p>
    <w:sectPr w:rsidR="005D3B59" w:rsidRPr="00C11F1A"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538267A8"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4763C">
          <w:rPr>
            <w:noProof/>
          </w:rPr>
          <w:t>6</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420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321D"/>
    <w:rsid w:val="001B4452"/>
    <w:rsid w:val="001B5C15"/>
    <w:rsid w:val="001B796F"/>
    <w:rsid w:val="001C5A63"/>
    <w:rsid w:val="001C5EB6"/>
    <w:rsid w:val="001D5770"/>
    <w:rsid w:val="001F1B30"/>
    <w:rsid w:val="00200C13"/>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D0AD3"/>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96253"/>
    <w:rsid w:val="004A3626"/>
    <w:rsid w:val="004A3E98"/>
    <w:rsid w:val="004B0722"/>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6DC6"/>
    <w:rsid w:val="0060702F"/>
    <w:rsid w:val="006108B3"/>
    <w:rsid w:val="00622501"/>
    <w:rsid w:val="006237FB"/>
    <w:rsid w:val="0062451E"/>
    <w:rsid w:val="00635D57"/>
    <w:rsid w:val="00640032"/>
    <w:rsid w:val="006418B2"/>
    <w:rsid w:val="00642404"/>
    <w:rsid w:val="00646E0A"/>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343A"/>
    <w:rsid w:val="008F7436"/>
    <w:rsid w:val="008F7D00"/>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1B51"/>
    <w:rsid w:val="00AA3484"/>
    <w:rsid w:val="00AA7E7B"/>
    <w:rsid w:val="00AB6D0F"/>
    <w:rsid w:val="00AB7858"/>
    <w:rsid w:val="00AC4E49"/>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278F"/>
    <w:rsid w:val="00BE4DAC"/>
    <w:rsid w:val="00BF13F8"/>
    <w:rsid w:val="00C01CFF"/>
    <w:rsid w:val="00C026F2"/>
    <w:rsid w:val="00C02D89"/>
    <w:rsid w:val="00C11F1A"/>
    <w:rsid w:val="00C15B78"/>
    <w:rsid w:val="00C2207B"/>
    <w:rsid w:val="00C22BA0"/>
    <w:rsid w:val="00C2496D"/>
    <w:rsid w:val="00C278D7"/>
    <w:rsid w:val="00C46129"/>
    <w:rsid w:val="00C4624B"/>
    <w:rsid w:val="00C4763C"/>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0932"/>
    <w:rsid w:val="00E5223F"/>
    <w:rsid w:val="00E534F0"/>
    <w:rsid w:val="00E66B4F"/>
    <w:rsid w:val="00E741D5"/>
    <w:rsid w:val="00E74474"/>
    <w:rsid w:val="00E80915"/>
    <w:rsid w:val="00E872B7"/>
    <w:rsid w:val="00E87A6A"/>
    <w:rsid w:val="00E9232A"/>
    <w:rsid w:val="00EA4D1B"/>
    <w:rsid w:val="00EB1D11"/>
    <w:rsid w:val="00EC3DC1"/>
    <w:rsid w:val="00ED2F1C"/>
    <w:rsid w:val="00ED3D05"/>
    <w:rsid w:val="00EE64AE"/>
    <w:rsid w:val="00EE7CB2"/>
    <w:rsid w:val="00EF078C"/>
    <w:rsid w:val="00F06445"/>
    <w:rsid w:val="00F07114"/>
    <w:rsid w:val="00F206A7"/>
    <w:rsid w:val="00F3105E"/>
    <w:rsid w:val="00F41591"/>
    <w:rsid w:val="00F41A63"/>
    <w:rsid w:val="00F45BEB"/>
    <w:rsid w:val="00F52E35"/>
    <w:rsid w:val="00F54523"/>
    <w:rsid w:val="00F54B50"/>
    <w:rsid w:val="00F84544"/>
    <w:rsid w:val="00F85AA7"/>
    <w:rsid w:val="00F954FA"/>
    <w:rsid w:val="00F95B1F"/>
    <w:rsid w:val="00FA05B2"/>
    <w:rsid w:val="00FA3189"/>
    <w:rsid w:val="00FA68A7"/>
    <w:rsid w:val="00FC0C51"/>
    <w:rsid w:val="00FC2B3C"/>
    <w:rsid w:val="00FD1CD8"/>
    <w:rsid w:val="00FE1B88"/>
    <w:rsid w:val="00FF1FFF"/>
    <w:rsid w:val="00FF4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18782209">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B592185D-8D8F-47A8-A0A2-96492CB8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1462</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10273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A.Harvey</cp:lastModifiedBy>
  <cp:revision>5</cp:revision>
  <cp:lastPrinted>2013-07-11T10:35:00Z</cp:lastPrinted>
  <dcterms:created xsi:type="dcterms:W3CDTF">2020-07-10T09:41:00Z</dcterms:created>
  <dcterms:modified xsi:type="dcterms:W3CDTF">2020-12-07T09:11:00Z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